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8E567" w14:textId="78F014E6" w:rsidR="00994618" w:rsidRPr="00D874A8" w:rsidRDefault="00D874A8" w:rsidP="00D874A8">
      <w:pPr>
        <w:pStyle w:val="Citationintense"/>
        <w:rPr>
          <w:rFonts w:cstheme="minorHAnsi"/>
          <w:color w:val="FF0000"/>
          <w:sz w:val="40"/>
          <w:szCs w:val="40"/>
        </w:rPr>
      </w:pPr>
      <w:r w:rsidRPr="00FA7223">
        <w:rPr>
          <w:rFonts w:cstheme="minorHAnsi"/>
          <w:color w:val="FF0000"/>
          <w:sz w:val="40"/>
          <w:szCs w:val="40"/>
        </w:rPr>
        <w:t xml:space="preserve">CapLab </w:t>
      </w:r>
      <w:r>
        <w:rPr>
          <w:rFonts w:cstheme="minorHAnsi"/>
          <w:color w:val="FF0000"/>
          <w:sz w:val="40"/>
          <w:szCs w:val="40"/>
        </w:rPr>
        <w:t>Toulouse</w:t>
      </w:r>
      <w:r w:rsidRPr="00FA7223">
        <w:rPr>
          <w:rFonts w:cstheme="minorHAnsi"/>
          <w:color w:val="FF0000"/>
          <w:sz w:val="40"/>
          <w:szCs w:val="40"/>
        </w:rPr>
        <w:t xml:space="preserve"> / </w:t>
      </w:r>
      <w:r>
        <w:rPr>
          <w:rFonts w:cstheme="minorHAnsi"/>
          <w:color w:val="FF0000"/>
          <w:sz w:val="40"/>
          <w:szCs w:val="40"/>
        </w:rPr>
        <w:t>15-16 juin</w:t>
      </w:r>
      <w:r w:rsidRPr="00FA7223">
        <w:rPr>
          <w:rFonts w:cstheme="minorHAnsi"/>
          <w:color w:val="FF0000"/>
          <w:sz w:val="40"/>
          <w:szCs w:val="40"/>
        </w:rPr>
        <w:t xml:space="preserve"> 202</w:t>
      </w:r>
      <w:r>
        <w:rPr>
          <w:rFonts w:cstheme="minorHAnsi"/>
          <w:color w:val="FF0000"/>
          <w:sz w:val="40"/>
          <w:szCs w:val="40"/>
        </w:rPr>
        <w:t>3</w:t>
      </w:r>
    </w:p>
    <w:p w14:paraId="7E654E26" w14:textId="77777777" w:rsidR="00D22F42" w:rsidRDefault="00D22F42" w:rsidP="00005716">
      <w:pPr>
        <w:pStyle w:val="Sansinterligne"/>
        <w:jc w:val="center"/>
        <w:rPr>
          <w:rFonts w:ascii="Comic Sans MS" w:hAnsi="Comic Sans MS"/>
          <w:b/>
          <w:color w:val="7030A0"/>
          <w:sz w:val="32"/>
          <w:szCs w:val="32"/>
        </w:rPr>
      </w:pPr>
    </w:p>
    <w:p w14:paraId="048FF4E7" w14:textId="4D2E2599" w:rsidR="002A2912" w:rsidRDefault="00FF2865" w:rsidP="00005716">
      <w:pPr>
        <w:pStyle w:val="Sansinterligne"/>
        <w:jc w:val="center"/>
        <w:rPr>
          <w:rFonts w:ascii="Comic Sans MS" w:hAnsi="Comic Sans MS"/>
          <w:b/>
          <w:color w:val="7030A0"/>
          <w:sz w:val="32"/>
          <w:szCs w:val="32"/>
        </w:rPr>
      </w:pPr>
      <w:r>
        <w:rPr>
          <w:rFonts w:ascii="Comic Sans MS" w:hAnsi="Comic Sans MS"/>
          <w:b/>
          <w:color w:val="7030A0"/>
          <w:sz w:val="32"/>
          <w:szCs w:val="32"/>
        </w:rPr>
        <w:t>Ressources</w:t>
      </w:r>
      <w:r w:rsidR="002A2912">
        <w:rPr>
          <w:rFonts w:ascii="Comic Sans MS" w:hAnsi="Comic Sans MS"/>
          <w:b/>
          <w:color w:val="7030A0"/>
          <w:sz w:val="32"/>
          <w:szCs w:val="32"/>
        </w:rPr>
        <w:t xml:space="preserve"> en lien avec les</w:t>
      </w:r>
      <w:r w:rsidR="002A2912" w:rsidRPr="007F278E">
        <w:rPr>
          <w:rFonts w:ascii="Comic Sans MS" w:hAnsi="Comic Sans MS"/>
          <w:b/>
          <w:color w:val="7030A0"/>
          <w:sz w:val="32"/>
          <w:szCs w:val="32"/>
        </w:rPr>
        <w:t xml:space="preserve"> interve</w:t>
      </w:r>
      <w:r w:rsidR="002A2912">
        <w:rPr>
          <w:rFonts w:ascii="Comic Sans MS" w:hAnsi="Comic Sans MS"/>
          <w:b/>
          <w:color w:val="7030A0"/>
          <w:sz w:val="32"/>
          <w:szCs w:val="32"/>
        </w:rPr>
        <w:t>ntions</w:t>
      </w:r>
    </w:p>
    <w:p w14:paraId="1ED17CB7" w14:textId="5B57A437" w:rsidR="009416FB" w:rsidRDefault="009416FB" w:rsidP="002A2912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</w:p>
    <w:p w14:paraId="4C43B868" w14:textId="77777777" w:rsidR="005D7FDF" w:rsidRDefault="005D7FDF" w:rsidP="002A2912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</w:p>
    <w:p w14:paraId="4A665561" w14:textId="3EBE238C" w:rsidR="00903152" w:rsidRPr="00D71C28" w:rsidRDefault="00903152" w:rsidP="00D71C2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D71C28">
        <w:rPr>
          <w:rFonts w:ascii="Comic Sans MS" w:hAnsi="Comic Sans MS"/>
          <w:b/>
          <w:color w:val="C45911" w:themeColor="accent2" w:themeShade="BF"/>
          <w:sz w:val="24"/>
          <w:szCs w:val="24"/>
        </w:rPr>
        <w:t>Sur l’article 12 de la Convention</w:t>
      </w:r>
      <w:r w:rsidR="000C3C5F" w:rsidRPr="00D71C28">
        <w:rPr>
          <w:rFonts w:ascii="Comic Sans MS" w:hAnsi="Comic Sans MS"/>
          <w:b/>
          <w:color w:val="C45911" w:themeColor="accent2" w:themeShade="BF"/>
          <w:sz w:val="24"/>
          <w:szCs w:val="24"/>
        </w:rPr>
        <w:t xml:space="preserve"> de la CIDPH</w:t>
      </w:r>
    </w:p>
    <w:p w14:paraId="3C819365" w14:textId="133C4B60" w:rsidR="00903152" w:rsidRDefault="00AB5CA6" w:rsidP="002A2912">
      <w:pPr>
        <w:pStyle w:val="Sansinterligne"/>
        <w:rPr>
          <w:rFonts w:ascii="Comic Sans MS" w:hAnsi="Comic Sans MS"/>
          <w:b/>
          <w:sz w:val="24"/>
          <w:szCs w:val="24"/>
        </w:rPr>
      </w:pPr>
      <w:r>
        <w:rPr>
          <w:sz w:val="24"/>
          <w:szCs w:val="24"/>
        </w:rPr>
        <w:sym w:font="Wingdings" w:char="F077"/>
      </w:r>
      <w:r w:rsidR="00F147D7">
        <w:rPr>
          <w:sz w:val="24"/>
          <w:szCs w:val="24"/>
        </w:rPr>
        <w:t xml:space="preserve"> </w:t>
      </w:r>
      <w:r w:rsidR="00903152" w:rsidRPr="00903152">
        <w:rPr>
          <w:sz w:val="24"/>
          <w:szCs w:val="24"/>
        </w:rPr>
        <w:t>Cécile Hanon, Julie Minoc, &amp; Benoît Eyraud. (2019). Choisir et agir pour autrui ? : Controverse autour de la Convention de l’ONU relative aux droits des personnes handicapées. Doin.</w:t>
      </w:r>
    </w:p>
    <w:p w14:paraId="4CF0F9E6" w14:textId="77777777" w:rsidR="00AC4EFF" w:rsidRPr="00AC4EFF" w:rsidRDefault="00AC4EFF" w:rsidP="002A2912">
      <w:pPr>
        <w:pStyle w:val="Sansinterligne"/>
        <w:rPr>
          <w:rFonts w:ascii="Comic Sans MS" w:hAnsi="Comic Sans MS"/>
          <w:b/>
          <w:sz w:val="24"/>
          <w:szCs w:val="24"/>
        </w:rPr>
      </w:pPr>
    </w:p>
    <w:p w14:paraId="5FD83E93" w14:textId="7E357A1B" w:rsidR="00903152" w:rsidRPr="00D71C28" w:rsidRDefault="009416FB" w:rsidP="00D71C2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D71C28">
        <w:rPr>
          <w:rFonts w:ascii="Comic Sans MS" w:hAnsi="Comic Sans MS"/>
          <w:b/>
          <w:color w:val="C45911" w:themeColor="accent2" w:themeShade="BF"/>
          <w:sz w:val="24"/>
          <w:szCs w:val="24"/>
        </w:rPr>
        <w:t>Miranda Boldrini</w:t>
      </w:r>
    </w:p>
    <w:p w14:paraId="60D941BA" w14:textId="488D53C4" w:rsidR="00903152" w:rsidRDefault="00AB5CA6" w:rsidP="00AC4EF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BB70B8" w:rsidRPr="00903152">
        <w:rPr>
          <w:sz w:val="24"/>
          <w:szCs w:val="24"/>
        </w:rPr>
        <w:t xml:space="preserve">Boldrini, M. (2023). Accompagnement de l’autonomie, handicap et care : remarques à partir de la Convention relative aux droits des personnes handicapées. </w:t>
      </w:r>
      <w:r w:rsidR="00BB70B8" w:rsidRPr="00B839B6">
        <w:rPr>
          <w:i/>
          <w:iCs/>
          <w:sz w:val="24"/>
          <w:szCs w:val="24"/>
        </w:rPr>
        <w:t>Éthique Publique</w:t>
      </w:r>
      <w:r w:rsidR="00BB70B8" w:rsidRPr="00903152">
        <w:rPr>
          <w:sz w:val="24"/>
          <w:szCs w:val="24"/>
        </w:rPr>
        <w:t>.</w:t>
      </w:r>
    </w:p>
    <w:p w14:paraId="59F51E73" w14:textId="77777777" w:rsidR="00AC4EFF" w:rsidRDefault="00AC4EFF" w:rsidP="00AC4EFF">
      <w:pPr>
        <w:pStyle w:val="Sansinterligne"/>
        <w:rPr>
          <w:rFonts w:ascii="Comic Sans MS" w:hAnsi="Comic Sans MS"/>
          <w:b/>
          <w:sz w:val="24"/>
          <w:szCs w:val="24"/>
        </w:rPr>
      </w:pPr>
    </w:p>
    <w:p w14:paraId="7A54CFE1" w14:textId="46B063AF" w:rsidR="0010225A" w:rsidRPr="00D71C28" w:rsidRDefault="00470FF0" w:rsidP="00D71C2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</w:rPr>
      </w:pPr>
      <w:r w:rsidRPr="00D71C28">
        <w:rPr>
          <w:rFonts w:ascii="Comic Sans MS" w:hAnsi="Comic Sans MS"/>
          <w:b/>
          <w:color w:val="C45911" w:themeColor="accent2" w:themeShade="BF"/>
          <w:sz w:val="24"/>
          <w:szCs w:val="24"/>
        </w:rPr>
        <w:t>Sergio Avalos</w:t>
      </w:r>
    </w:p>
    <w:p w14:paraId="715C400E" w14:textId="33FAA70D" w:rsidR="000E7521" w:rsidRPr="0010225A" w:rsidRDefault="00AB5CA6" w:rsidP="0010225A">
      <w:pPr>
        <w:pStyle w:val="Sansinterligne"/>
        <w:rPr>
          <w:rFonts w:ascii="Comic Sans MS" w:hAnsi="Comic Sans MS"/>
          <w:b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hyperlink r:id="rId7" w:history="1">
        <w:r w:rsidRPr="00CA4472">
          <w:rPr>
            <w:rStyle w:val="Lienhypertexte"/>
            <w:sz w:val="24"/>
            <w:szCs w:val="24"/>
          </w:rPr>
          <w:t>https://ithacadroitshumainsetvulnerabilites.wordpress.com/author/savalos70/</w:t>
        </w:r>
      </w:hyperlink>
    </w:p>
    <w:p w14:paraId="5EAF35DB" w14:textId="2B9E0C8D" w:rsidR="00994618" w:rsidRPr="000E7521" w:rsidRDefault="00994618" w:rsidP="000E7521">
      <w:pPr>
        <w:pStyle w:val="Sansinterligne"/>
        <w:rPr>
          <w:sz w:val="24"/>
          <w:szCs w:val="24"/>
        </w:rPr>
      </w:pPr>
    </w:p>
    <w:p w14:paraId="16FBFCDF" w14:textId="77777777" w:rsidR="00531801" w:rsidRPr="00D71C28" w:rsidRDefault="00470FF0" w:rsidP="00D71C2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  <w:lang w:eastAsia="fr-FR"/>
        </w:rPr>
      </w:pPr>
      <w:r w:rsidRPr="00D71C28">
        <w:rPr>
          <w:rFonts w:ascii="Comic Sans MS" w:hAnsi="Comic Sans MS"/>
          <w:b/>
          <w:color w:val="C45911" w:themeColor="accent2" w:themeShade="BF"/>
          <w:sz w:val="24"/>
          <w:szCs w:val="24"/>
          <w:lang w:eastAsia="fr-FR"/>
        </w:rPr>
        <w:t>Pamela Molina</w:t>
      </w:r>
    </w:p>
    <w:p w14:paraId="50AE3E58" w14:textId="591181A9" w:rsidR="00FC6A3C" w:rsidRPr="00531801" w:rsidRDefault="00AB5CA6" w:rsidP="00531801">
      <w:pPr>
        <w:pStyle w:val="Sansinterligne"/>
        <w:rPr>
          <w:rFonts w:ascii="Comic Sans MS" w:hAnsi="Comic Sans MS"/>
          <w:b/>
          <w:lang w:eastAsia="fr-FR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hyperlink r:id="rId8" w:history="1">
        <w:r w:rsidRPr="00CA4472">
          <w:rPr>
            <w:rStyle w:val="Lienhypertexte"/>
            <w:sz w:val="24"/>
            <w:szCs w:val="24"/>
            <w:lang w:eastAsia="fr-FR"/>
          </w:rPr>
          <w:t>https://www.hi.org/crpd/fr/pamela-molina</w:t>
        </w:r>
      </w:hyperlink>
    </w:p>
    <w:p w14:paraId="62AE3D37" w14:textId="77777777" w:rsidR="00AC4EFF" w:rsidRDefault="00AC4EFF" w:rsidP="00A71D41">
      <w:pPr>
        <w:pStyle w:val="Sansinterligne"/>
        <w:rPr>
          <w:lang w:eastAsia="fr-FR"/>
        </w:rPr>
      </w:pPr>
    </w:p>
    <w:p w14:paraId="4F7E6B23" w14:textId="695450D7" w:rsidR="00A71D41" w:rsidRPr="00D71C28" w:rsidRDefault="00FC6A3C" w:rsidP="00D71C2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  <w:lang w:eastAsia="fr-FR"/>
        </w:rPr>
      </w:pPr>
      <w:r w:rsidRPr="00D71C28">
        <w:rPr>
          <w:rFonts w:ascii="Comic Sans MS" w:hAnsi="Comic Sans MS"/>
          <w:b/>
          <w:color w:val="C45911" w:themeColor="accent2" w:themeShade="BF"/>
          <w:sz w:val="24"/>
          <w:szCs w:val="24"/>
          <w:lang w:eastAsia="fr-FR"/>
        </w:rPr>
        <w:t xml:space="preserve">Cristina Guilarte </w:t>
      </w:r>
    </w:p>
    <w:p w14:paraId="657CAC46" w14:textId="29F75620" w:rsidR="00FC6A3C" w:rsidRPr="00A71D41" w:rsidRDefault="00AB5CA6" w:rsidP="00A71D41">
      <w:pPr>
        <w:pStyle w:val="Sansinterligne"/>
        <w:rPr>
          <w:rFonts w:ascii="Comic Sans MS" w:hAnsi="Comic Sans MS"/>
          <w:b/>
          <w:sz w:val="24"/>
          <w:szCs w:val="24"/>
          <w:lang w:eastAsia="fr-FR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FC6A3C" w:rsidRPr="00A71D41">
        <w:rPr>
          <w:sz w:val="24"/>
          <w:szCs w:val="24"/>
        </w:rPr>
        <w:t>La Cour de Cassation espagnole et la Convention de New York relative aux droits des personnes handicapées : un nouveau paradigme », dossier L’accompagnement des personnes majeures vulnérables: entre nécessité juridique et exigence éthique, Droit de la Famille, mars, 2017, N</w:t>
      </w:r>
      <w:r w:rsidR="00CE3700" w:rsidRPr="00A71D41">
        <w:rPr>
          <w:sz w:val="24"/>
          <w:szCs w:val="24"/>
        </w:rPr>
        <w:t>.</w:t>
      </w:r>
      <w:r w:rsidR="00FC6A3C" w:rsidRPr="00A71D41">
        <w:rPr>
          <w:sz w:val="24"/>
          <w:szCs w:val="24"/>
        </w:rPr>
        <w:t>3, pgs.44-46</w:t>
      </w:r>
    </w:p>
    <w:p w14:paraId="6517FC8B" w14:textId="296B0C08" w:rsidR="00FC6A3C" w:rsidRDefault="00AC4EFF" w:rsidP="00470FF0">
      <w:pPr>
        <w:rPr>
          <w:sz w:val="24"/>
          <w:szCs w:val="24"/>
          <w:lang w:eastAsia="fr-FR"/>
        </w:rPr>
      </w:pPr>
      <w:r>
        <w:rPr>
          <w:b/>
          <w:sz w:val="24"/>
          <w:szCs w:val="24"/>
          <w:lang w:eastAsia="fr-FR"/>
        </w:rPr>
        <w:t xml:space="preserve">      </w:t>
      </w:r>
      <w:r>
        <w:rPr>
          <w:b/>
          <w:sz w:val="24"/>
          <w:szCs w:val="24"/>
          <w:lang w:eastAsia="fr-FR"/>
        </w:rPr>
        <w:sym w:font="Wingdings" w:char="F0D8"/>
      </w:r>
      <w:r>
        <w:rPr>
          <w:b/>
          <w:sz w:val="24"/>
          <w:szCs w:val="24"/>
          <w:lang w:eastAsia="fr-FR"/>
        </w:rPr>
        <w:t xml:space="preserve"> </w:t>
      </w:r>
      <w:r w:rsidR="00FC6A3C" w:rsidRPr="00F65746">
        <w:rPr>
          <w:b/>
          <w:sz w:val="24"/>
          <w:szCs w:val="24"/>
          <w:lang w:eastAsia="fr-FR"/>
        </w:rPr>
        <w:t xml:space="preserve">Pdf </w:t>
      </w:r>
      <w:r w:rsidR="00CE3700" w:rsidRPr="00F65746">
        <w:rPr>
          <w:b/>
          <w:sz w:val="24"/>
          <w:szCs w:val="24"/>
          <w:lang w:eastAsia="fr-FR"/>
        </w:rPr>
        <w:t xml:space="preserve">de l’article </w:t>
      </w:r>
      <w:r w:rsidR="00FC6A3C" w:rsidRPr="00F65746">
        <w:rPr>
          <w:b/>
          <w:sz w:val="24"/>
          <w:szCs w:val="24"/>
          <w:lang w:eastAsia="fr-FR"/>
        </w:rPr>
        <w:t>sur site web</w:t>
      </w:r>
      <w:r w:rsidR="00FC6A3C" w:rsidRPr="00F65746">
        <w:rPr>
          <w:sz w:val="24"/>
          <w:szCs w:val="24"/>
          <w:lang w:eastAsia="fr-FR"/>
        </w:rPr>
        <w:t xml:space="preserve"> : </w:t>
      </w:r>
      <w:hyperlink r:id="rId9" w:history="1">
        <w:r w:rsidR="0082488F" w:rsidRPr="00A00674">
          <w:rPr>
            <w:rStyle w:val="Lienhypertexte"/>
            <w:sz w:val="24"/>
            <w:szCs w:val="24"/>
            <w:lang w:eastAsia="fr-FR"/>
          </w:rPr>
          <w:t>https://uvadoc.uva.es/handle/10324/41050</w:t>
        </w:r>
      </w:hyperlink>
    </w:p>
    <w:p w14:paraId="06C00DFF" w14:textId="77777777" w:rsidR="00A71D41" w:rsidRPr="00D71C28" w:rsidRDefault="00237C08" w:rsidP="00D71C2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C45911" w:themeColor="accent2" w:themeShade="BF"/>
          <w:sz w:val="24"/>
          <w:szCs w:val="24"/>
          <w:lang w:eastAsia="fr-FR"/>
        </w:rPr>
      </w:pPr>
      <w:r w:rsidRPr="00D71C28">
        <w:rPr>
          <w:rFonts w:ascii="Comic Sans MS" w:hAnsi="Comic Sans MS"/>
          <w:b/>
          <w:color w:val="C45911" w:themeColor="accent2" w:themeShade="BF"/>
          <w:sz w:val="24"/>
          <w:szCs w:val="24"/>
          <w:lang w:eastAsia="fr-FR"/>
        </w:rPr>
        <w:t>Philippe Aubert</w:t>
      </w:r>
    </w:p>
    <w:p w14:paraId="28FF47F0" w14:textId="6AB96BA7" w:rsidR="00994618" w:rsidRPr="00A71D41" w:rsidRDefault="00AB5CA6" w:rsidP="00A71D41">
      <w:pPr>
        <w:pStyle w:val="Sansinterligne"/>
        <w:rPr>
          <w:rFonts w:ascii="Comic Sans MS" w:hAnsi="Comic Sans MS"/>
          <w:b/>
          <w:sz w:val="24"/>
          <w:szCs w:val="24"/>
          <w:lang w:eastAsia="fr-FR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S</w:t>
      </w:r>
      <w:r w:rsidR="00994618" w:rsidRPr="00A71D41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ite web </w:t>
      </w:r>
      <w:hyperlink r:id="rId10" w:history="1">
        <w:r w:rsidR="00994618" w:rsidRPr="00A71D41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fr-FR"/>
          </w:rPr>
          <w:t>https://ragedexister.com</w:t>
        </w:r>
      </w:hyperlink>
    </w:p>
    <w:p w14:paraId="796EA489" w14:textId="5030437F" w:rsidR="00994618" w:rsidRPr="00994618" w:rsidRDefault="00994618" w:rsidP="00994618">
      <w:pPr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</w:p>
    <w:p w14:paraId="1F47D08E" w14:textId="77777777" w:rsidR="00871D40" w:rsidRPr="00D71C28" w:rsidRDefault="00994618" w:rsidP="00D71C2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 w:cs="Calibri"/>
          <w:b/>
          <w:color w:val="C45911" w:themeColor="accent2" w:themeShade="BF"/>
          <w:sz w:val="24"/>
          <w:szCs w:val="24"/>
          <w:lang w:eastAsia="fr-FR"/>
        </w:rPr>
      </w:pPr>
      <w:r w:rsidRPr="00D71C28">
        <w:rPr>
          <w:rFonts w:ascii="Comic Sans MS" w:hAnsi="Comic Sans MS" w:cs="Calibri"/>
          <w:b/>
          <w:color w:val="C45911" w:themeColor="accent2" w:themeShade="BF"/>
          <w:sz w:val="24"/>
          <w:szCs w:val="24"/>
          <w:lang w:eastAsia="fr-FR"/>
        </w:rPr>
        <w:t xml:space="preserve">Camille Carpentier </w:t>
      </w:r>
    </w:p>
    <w:p w14:paraId="5417C8B9" w14:textId="6507CC0D" w:rsidR="00994618" w:rsidRPr="00871D40" w:rsidRDefault="00AB5CA6" w:rsidP="00871D40">
      <w:pPr>
        <w:pStyle w:val="Sansinterligne"/>
        <w:rPr>
          <w:rFonts w:ascii="Comic Sans MS" w:hAnsi="Comic Sans MS" w:cs="Calibri"/>
          <w:b/>
          <w:sz w:val="24"/>
          <w:szCs w:val="24"/>
          <w:lang w:eastAsia="fr-FR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994618" w:rsidRPr="00871D40">
        <w:rPr>
          <w:b/>
          <w:bCs/>
          <w:sz w:val="24"/>
          <w:szCs w:val="24"/>
          <w:lang w:eastAsia="fr-FR"/>
        </w:rPr>
        <w:t>Thèse de Doctorat soutenue le 06/03/2023 : "</w:t>
      </w:r>
      <w:r w:rsidR="00994618" w:rsidRPr="00871D40">
        <w:rPr>
          <w:sz w:val="24"/>
          <w:szCs w:val="24"/>
          <w:lang w:eastAsia="fr-FR"/>
        </w:rPr>
        <w:t>Explorer le vécu des personnes aphasiques à la suite d'un AVC et de leurs aidant.e.s : une approche psychosociale des situations de handicap et de participation sociale"</w:t>
      </w:r>
    </w:p>
    <w:p w14:paraId="4BFAACA5" w14:textId="3AA3049F" w:rsidR="00994618" w:rsidRPr="00F65746" w:rsidRDefault="00AC6EAB" w:rsidP="00237C08">
      <w:pPr>
        <w:spacing w:after="0" w:line="240" w:lineRule="auto"/>
        <w:rPr>
          <w:rFonts w:ascii="Calibri" w:eastAsia="Times New Roman" w:hAnsi="Calibri" w:cs="Calibri"/>
          <w:color w:val="0000FF"/>
          <w:sz w:val="24"/>
          <w:szCs w:val="24"/>
          <w:u w:val="single"/>
          <w:lang w:eastAsia="fr-FR"/>
        </w:rPr>
      </w:pPr>
      <w:hyperlink r:id="rId11" w:history="1">
        <w:r w:rsidR="00871D40" w:rsidRPr="00F65746">
          <w:rPr>
            <w:rStyle w:val="Lienhypertexte"/>
            <w:rFonts w:ascii="Calibri" w:eastAsia="Times New Roman" w:hAnsi="Calibri" w:cs="Calibri"/>
            <w:sz w:val="24"/>
            <w:szCs w:val="24"/>
            <w:lang w:eastAsia="fr-FR"/>
          </w:rPr>
          <w:t>https://popsu1296.univ-lyon2.fr/soutenances/soutenance-de-camille-carpentier</w:t>
        </w:r>
      </w:hyperlink>
    </w:p>
    <w:p w14:paraId="3A649D36" w14:textId="5D06533C" w:rsidR="005A1D94" w:rsidRDefault="005A1D94" w:rsidP="005A1D94">
      <w:pPr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</w:p>
    <w:p w14:paraId="56B3FC63" w14:textId="51E648C4" w:rsidR="005D7FDF" w:rsidRDefault="005D7FDF" w:rsidP="005A1D94">
      <w:pPr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</w:p>
    <w:p w14:paraId="0A826923" w14:textId="480826B3" w:rsidR="005D7FDF" w:rsidRDefault="005D7FDF" w:rsidP="005A1D94">
      <w:pPr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</w:p>
    <w:p w14:paraId="7BC189B3" w14:textId="4ACC8EB7" w:rsidR="005D7FDF" w:rsidRDefault="005D7FDF" w:rsidP="005A1D94">
      <w:pPr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</w:p>
    <w:p w14:paraId="3CDF8300" w14:textId="65B17C00" w:rsidR="005D7FDF" w:rsidRDefault="005D7FDF" w:rsidP="005A1D94">
      <w:pPr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</w:p>
    <w:p w14:paraId="64EF0681" w14:textId="77777777" w:rsidR="005D7FDF" w:rsidRPr="00994618" w:rsidRDefault="005D7FDF" w:rsidP="005A1D94">
      <w:pPr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</w:p>
    <w:p w14:paraId="1E315A78" w14:textId="6D98CC01" w:rsidR="005A1D94" w:rsidRPr="00D71C28" w:rsidRDefault="005A1D94" w:rsidP="00D71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eastAsia="Times New Roman" w:hAnsi="Comic Sans MS" w:cs="Calibri"/>
          <w:b/>
          <w:bCs/>
          <w:color w:val="C45911" w:themeColor="accent2" w:themeShade="BF"/>
          <w:sz w:val="24"/>
          <w:szCs w:val="24"/>
          <w:lang w:eastAsia="fr-FR"/>
        </w:rPr>
      </w:pPr>
      <w:r w:rsidRPr="00D71C28">
        <w:rPr>
          <w:rFonts w:ascii="Comic Sans MS" w:eastAsia="Times New Roman" w:hAnsi="Comic Sans MS" w:cs="Calibri"/>
          <w:b/>
          <w:bCs/>
          <w:color w:val="C45911" w:themeColor="accent2" w:themeShade="BF"/>
          <w:sz w:val="24"/>
          <w:szCs w:val="24"/>
          <w:lang w:eastAsia="fr-FR"/>
        </w:rPr>
        <w:t xml:space="preserve">Sur la communication alternative et améliorée (CAA) </w:t>
      </w:r>
    </w:p>
    <w:p w14:paraId="296D00DE" w14:textId="28DCB6A3" w:rsidR="009F462A" w:rsidRDefault="00AB5CA6" w:rsidP="005A1D94">
      <w:pPr>
        <w:spacing w:after="0" w:line="240" w:lineRule="auto"/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9F462A" w:rsidRPr="009F462A">
        <w:rPr>
          <w:sz w:val="24"/>
          <w:szCs w:val="24"/>
        </w:rPr>
        <w:t xml:space="preserve">Beukelman, D. R. (2017). </w:t>
      </w:r>
      <w:r w:rsidR="009F462A" w:rsidRPr="009F462A">
        <w:rPr>
          <w:i/>
          <w:iCs/>
          <w:sz w:val="24"/>
          <w:szCs w:val="24"/>
        </w:rPr>
        <w:t>Communication alternative et améliorée : [aider les enfants et les adultes avec des difficultés de communication]</w:t>
      </w:r>
      <w:r w:rsidR="009F462A" w:rsidRPr="009F462A">
        <w:rPr>
          <w:sz w:val="24"/>
          <w:szCs w:val="24"/>
        </w:rPr>
        <w:t xml:space="preserve"> (P. Mirenda, E. Prudhon, &amp; E. Valliet (Eds.)). De Boeck supérieur.</w:t>
      </w:r>
      <w:r w:rsidR="009F462A">
        <w:t xml:space="preserve"> </w:t>
      </w:r>
    </w:p>
    <w:p w14:paraId="4E803447" w14:textId="7048C38B" w:rsidR="005A1D94" w:rsidRDefault="00AB5CA6" w:rsidP="005A1D9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9F462A" w:rsidRPr="009F462A">
        <w:rPr>
          <w:sz w:val="24"/>
          <w:szCs w:val="24"/>
        </w:rPr>
        <w:t xml:space="preserve">Cataix-Negre, É. (2016). </w:t>
      </w:r>
      <w:r w:rsidR="009F462A" w:rsidRPr="009F462A">
        <w:rPr>
          <w:i/>
          <w:iCs/>
          <w:sz w:val="24"/>
          <w:szCs w:val="24"/>
        </w:rPr>
        <w:t>Communiquer autrement : accompagner les personnes avec des troubles de la parole ou du langage : les communications alternatives</w:t>
      </w:r>
      <w:r w:rsidR="009F462A" w:rsidRPr="009F462A">
        <w:rPr>
          <w:sz w:val="24"/>
          <w:szCs w:val="24"/>
        </w:rPr>
        <w:t xml:space="preserve"> (E. Zucman (Ed.)). De Boeck Supérieur-Solal.</w:t>
      </w:r>
    </w:p>
    <w:p w14:paraId="4E880134" w14:textId="3D2CF85B" w:rsidR="009F462A" w:rsidRDefault="00AB5CA6" w:rsidP="005A1D9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9F462A" w:rsidRPr="009F462A">
        <w:rPr>
          <w:sz w:val="24"/>
          <w:szCs w:val="24"/>
        </w:rPr>
        <w:t xml:space="preserve">Suc-Mella, P. (2020). </w:t>
      </w:r>
      <w:r w:rsidR="009F462A" w:rsidRPr="009F462A">
        <w:rPr>
          <w:i/>
          <w:iCs/>
          <w:sz w:val="24"/>
          <w:szCs w:val="24"/>
        </w:rPr>
        <w:t>La société inclusive, jusqu’où aller ?</w:t>
      </w:r>
      <w:r w:rsidR="009F462A" w:rsidRPr="009F462A">
        <w:rPr>
          <w:sz w:val="24"/>
          <w:szCs w:val="24"/>
        </w:rPr>
        <w:t xml:space="preserve"> </w:t>
      </w:r>
      <w:r w:rsidR="009F462A" w:rsidRPr="009F462A">
        <w:rPr>
          <w:rFonts w:ascii="Calibri" w:eastAsia="Times New Roman" w:hAnsi="Calibri" w:cs="Calibri"/>
          <w:i/>
          <w:color w:val="000000"/>
          <w:sz w:val="24"/>
          <w:szCs w:val="24"/>
          <w:lang w:eastAsia="fr-FR"/>
        </w:rPr>
        <w:t>En CAA (communication alternative et améliorée).</w:t>
      </w:r>
      <w:r w:rsidR="009F462A" w:rsidRPr="005A1D94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(pp. 151-152). </w:t>
      </w:r>
      <w:r w:rsidR="009F462A">
        <w:rPr>
          <w:sz w:val="24"/>
          <w:szCs w:val="24"/>
        </w:rPr>
        <w:t>Toulouse,</w:t>
      </w:r>
      <w:r w:rsidR="00C63A5F">
        <w:rPr>
          <w:sz w:val="24"/>
          <w:szCs w:val="24"/>
        </w:rPr>
        <w:t xml:space="preserve"> </w:t>
      </w:r>
      <w:r w:rsidR="009F462A" w:rsidRPr="009F462A">
        <w:rPr>
          <w:sz w:val="24"/>
          <w:szCs w:val="24"/>
        </w:rPr>
        <w:t>Érès.</w:t>
      </w:r>
    </w:p>
    <w:p w14:paraId="7F561486" w14:textId="245E46E7" w:rsidR="00646258" w:rsidRDefault="00646258" w:rsidP="00D71C28">
      <w:pPr>
        <w:pStyle w:val="Sansinterligne"/>
        <w:rPr>
          <w:lang w:eastAsia="fr-FR"/>
        </w:rPr>
      </w:pPr>
    </w:p>
    <w:p w14:paraId="6CC908DF" w14:textId="25666FB0" w:rsidR="00424676" w:rsidRDefault="00AB5CA6" w:rsidP="00424676">
      <w:pPr>
        <w:spacing w:after="0" w:line="240" w:lineRule="auto"/>
        <w:rPr>
          <w:rStyle w:val="Lienhypertexte"/>
          <w:rFonts w:ascii="Calibri" w:eastAsia="Times New Roman" w:hAnsi="Calibri" w:cs="Calibri"/>
          <w:sz w:val="24"/>
          <w:szCs w:val="24"/>
          <w:lang w:eastAsia="fr-FR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646258" w:rsidRPr="00646258">
        <w:rPr>
          <w:rFonts w:ascii="Calibri" w:eastAsia="Times New Roman" w:hAnsi="Calibri" w:cs="Calibri"/>
          <w:b/>
          <w:color w:val="000000"/>
          <w:sz w:val="24"/>
          <w:szCs w:val="24"/>
          <w:lang w:eastAsia="fr-FR"/>
        </w:rPr>
        <w:t>Voir aussi le site</w:t>
      </w:r>
      <w:r w:rsidR="00646258">
        <w:rPr>
          <w:sz w:val="24"/>
          <w:szCs w:val="24"/>
        </w:rPr>
        <w:t xml:space="preserve"> : </w:t>
      </w:r>
      <w:hyperlink r:id="rId12" w:history="1">
        <w:r w:rsidR="00646258" w:rsidRPr="00A00674">
          <w:rPr>
            <w:rStyle w:val="Lienhypertexte"/>
            <w:rFonts w:ascii="Calibri" w:eastAsia="Times New Roman" w:hAnsi="Calibri" w:cs="Calibri"/>
            <w:sz w:val="24"/>
            <w:szCs w:val="24"/>
            <w:lang w:eastAsia="fr-FR"/>
          </w:rPr>
          <w:t>https://www.isaac-fr.org/</w:t>
        </w:r>
      </w:hyperlink>
    </w:p>
    <w:p w14:paraId="06B2CE46" w14:textId="77777777" w:rsidR="00424676" w:rsidRDefault="00424676" w:rsidP="00424676">
      <w:pPr>
        <w:spacing w:after="0" w:line="240" w:lineRule="auto"/>
        <w:rPr>
          <w:rStyle w:val="Lienhypertexte"/>
          <w:rFonts w:ascii="Calibri" w:eastAsia="Times New Roman" w:hAnsi="Calibri" w:cs="Calibri"/>
          <w:sz w:val="24"/>
          <w:szCs w:val="24"/>
          <w:lang w:eastAsia="fr-FR"/>
        </w:rPr>
      </w:pPr>
    </w:p>
    <w:p w14:paraId="671E2514" w14:textId="5589BA5C" w:rsidR="00871D40" w:rsidRPr="00D22F42" w:rsidRDefault="00871D40" w:rsidP="0042467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omic Sans MS" w:eastAsia="Times New Roman" w:hAnsi="Comic Sans MS" w:cs="Calibri"/>
          <w:b/>
          <w:color w:val="C45911" w:themeColor="accent2" w:themeShade="BF"/>
          <w:sz w:val="24"/>
          <w:szCs w:val="24"/>
          <w:lang w:val="en-US" w:eastAsia="fr-FR"/>
        </w:rPr>
      </w:pPr>
      <w:r w:rsidRPr="00424676">
        <w:rPr>
          <w:rFonts w:ascii="Comic Sans MS" w:hAnsi="Comic Sans MS"/>
          <w:b/>
          <w:color w:val="C45911" w:themeColor="accent2" w:themeShade="BF"/>
          <w:sz w:val="24"/>
          <w:szCs w:val="24"/>
          <w:lang w:val="en-US" w:eastAsia="fr-FR"/>
        </w:rPr>
        <w:t>Iannis McCluskey</w:t>
      </w:r>
      <w:r w:rsidR="00D71C28" w:rsidRPr="00424676">
        <w:rPr>
          <w:rFonts w:ascii="Comic Sans MS" w:hAnsi="Comic Sans MS"/>
          <w:b/>
          <w:color w:val="C45911" w:themeColor="accent2" w:themeShade="BF"/>
          <w:sz w:val="24"/>
          <w:szCs w:val="24"/>
          <w:bdr w:val="single" w:sz="4" w:space="0" w:color="auto"/>
          <w:lang w:val="en-US" w:eastAsia="fr-FR"/>
        </w:rPr>
        <w:t xml:space="preserve">           </w:t>
      </w:r>
    </w:p>
    <w:p w14:paraId="0A814CBB" w14:textId="4D75ACDD" w:rsidR="00871D40" w:rsidRDefault="00AB5CA6" w:rsidP="00871D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sym w:font="Wingdings" w:char="F077"/>
      </w:r>
      <w:r w:rsidRPr="00945242">
        <w:rPr>
          <w:sz w:val="24"/>
          <w:szCs w:val="24"/>
          <w:lang w:val="en-US"/>
        </w:rPr>
        <w:t xml:space="preserve"> </w:t>
      </w:r>
      <w:r w:rsidR="00871D40" w:rsidRPr="003A5522">
        <w:rPr>
          <w:sz w:val="24"/>
          <w:szCs w:val="24"/>
          <w:lang w:val="en-US"/>
        </w:rPr>
        <w:t xml:space="preserve">Troisoeufs, A., &amp; McCluskey, I. (2021). </w:t>
      </w:r>
      <w:r w:rsidR="00871D40" w:rsidRPr="00237C08">
        <w:rPr>
          <w:i/>
          <w:iCs/>
          <w:sz w:val="24"/>
          <w:szCs w:val="24"/>
        </w:rPr>
        <w:t>Chapitre 4. Co-construire la participation entre chercheurs et pairs dans le processus de recherche qualitative</w:t>
      </w:r>
      <w:r w:rsidR="00871D40" w:rsidRPr="00237C08">
        <w:rPr>
          <w:sz w:val="24"/>
          <w:szCs w:val="24"/>
        </w:rPr>
        <w:t xml:space="preserve">. </w:t>
      </w:r>
      <w:r w:rsidR="00871D40" w:rsidRPr="003A5522">
        <w:rPr>
          <w:sz w:val="24"/>
          <w:szCs w:val="24"/>
        </w:rPr>
        <w:t>Dunod.</w:t>
      </w:r>
    </w:p>
    <w:p w14:paraId="34E520AA" w14:textId="77777777" w:rsidR="00424676" w:rsidRPr="003A5522" w:rsidRDefault="00424676" w:rsidP="00871D40">
      <w:pPr>
        <w:spacing w:after="0" w:line="240" w:lineRule="auto"/>
        <w:rPr>
          <w:sz w:val="24"/>
          <w:szCs w:val="24"/>
        </w:rPr>
      </w:pPr>
    </w:p>
    <w:p w14:paraId="79901DBA" w14:textId="7FD23D65" w:rsidR="00871D40" w:rsidRPr="00424676" w:rsidRDefault="00871D40" w:rsidP="00424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Comic Sans MS" w:eastAsia="Times New Roman" w:hAnsi="Comic Sans MS" w:cs="Calibri"/>
          <w:b/>
          <w:color w:val="C45911" w:themeColor="accent2" w:themeShade="BF"/>
          <w:sz w:val="24"/>
          <w:szCs w:val="24"/>
          <w:lang w:eastAsia="fr-FR"/>
        </w:rPr>
      </w:pPr>
      <w:r w:rsidRPr="00424676">
        <w:rPr>
          <w:rFonts w:ascii="Comic Sans MS" w:eastAsia="Times New Roman" w:hAnsi="Comic Sans MS" w:cs="Calibri"/>
          <w:b/>
          <w:color w:val="C45911" w:themeColor="accent2" w:themeShade="BF"/>
          <w:sz w:val="24"/>
          <w:szCs w:val="24"/>
          <w:lang w:eastAsia="fr-FR"/>
        </w:rPr>
        <w:t>Aurélie Tinland</w:t>
      </w:r>
    </w:p>
    <w:p w14:paraId="04CCE455" w14:textId="3345C51C" w:rsidR="00871D40" w:rsidRPr="0059450E" w:rsidRDefault="00AB5CA6" w:rsidP="0059450E">
      <w:pPr>
        <w:pStyle w:val="Sansinterligne"/>
        <w:rPr>
          <w:sz w:val="24"/>
          <w:szCs w:val="24"/>
          <w:lang w:eastAsia="fr-FR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871D40" w:rsidRPr="0059450E">
        <w:rPr>
          <w:sz w:val="24"/>
          <w:szCs w:val="24"/>
          <w:lang w:eastAsia="fr-FR"/>
        </w:rPr>
        <w:t xml:space="preserve">Tinland A, Loubière S, Mougeot F, et al. </w:t>
      </w:r>
      <w:r w:rsidR="00871D40" w:rsidRPr="0059450E">
        <w:rPr>
          <w:sz w:val="24"/>
          <w:szCs w:val="24"/>
          <w:lang w:val="en-US" w:eastAsia="fr-FR"/>
        </w:rPr>
        <w:t xml:space="preserve">Effect of Psychiatric Advance Directives Facilitated by Peer Workers on Compulsory Admission Among People With Mental Illness: A Randomized Clinical Trial. </w:t>
      </w:r>
      <w:r w:rsidR="00871D40" w:rsidRPr="0059450E">
        <w:rPr>
          <w:i/>
          <w:iCs/>
          <w:sz w:val="24"/>
          <w:szCs w:val="24"/>
          <w:lang w:eastAsia="fr-FR"/>
        </w:rPr>
        <w:t>JAMA Psychiatry.</w:t>
      </w:r>
      <w:r w:rsidR="00871D40" w:rsidRPr="0059450E">
        <w:rPr>
          <w:sz w:val="24"/>
          <w:szCs w:val="24"/>
          <w:lang w:eastAsia="fr-FR"/>
        </w:rPr>
        <w:t xml:space="preserve"> 2022;79(8):752–759. doi:10.1001/jamapsychiatry.2022.1627</w:t>
      </w:r>
    </w:p>
    <w:p w14:paraId="43604AE0" w14:textId="7A0021F0" w:rsidR="00871D40" w:rsidRDefault="0059450E" w:rsidP="00871D40">
      <w:pPr>
        <w:spacing w:after="0" w:line="240" w:lineRule="auto"/>
        <w:rPr>
          <w:rFonts w:ascii="Calibri" w:eastAsia="Times New Roman" w:hAnsi="Calibri" w:cs="Calibri"/>
          <w:color w:val="0000FF"/>
          <w:u w:val="single"/>
          <w:lang w:eastAsia="fr-F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  </w:t>
      </w:r>
      <w:r w:rsidRPr="0059450E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sym w:font="Wingdings" w:char="F0D8"/>
      </w:r>
      <w:r w:rsidRPr="0059450E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</w:t>
      </w:r>
      <w:r w:rsidR="00871D40" w:rsidRPr="0059450E">
        <w:rPr>
          <w:rFonts w:ascii="Calibri" w:eastAsia="Times New Roman" w:hAnsi="Calibri" w:cs="Calibri"/>
          <w:b/>
          <w:color w:val="000000"/>
          <w:sz w:val="24"/>
          <w:szCs w:val="24"/>
          <w:lang w:eastAsia="fr-FR"/>
        </w:rPr>
        <w:t xml:space="preserve">résumé de l'article </w:t>
      </w:r>
      <w:r w:rsidR="00871D40" w:rsidRPr="00D77B02">
        <w:rPr>
          <w:rFonts w:ascii="Calibri" w:eastAsia="Times New Roman" w:hAnsi="Calibri" w:cs="Calibri"/>
          <w:b/>
          <w:color w:val="000000"/>
          <w:sz w:val="24"/>
          <w:szCs w:val="24"/>
          <w:lang w:eastAsia="fr-FR"/>
        </w:rPr>
        <w:t>en français sur le site</w:t>
      </w:r>
      <w:r w:rsidR="00871D40" w:rsidRPr="00D77B02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:</w:t>
      </w:r>
      <w:r w:rsidR="00871D40" w:rsidRPr="0059450E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</w:t>
      </w:r>
      <w:hyperlink r:id="rId13" w:history="1">
        <w:r w:rsidR="00871D40" w:rsidRPr="0059450E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fr-FR"/>
          </w:rPr>
          <w:t>https://centre-ressource-rehabilitation.org/l-impact-des-directives-anticipees-en-psychiatrie</w:t>
        </w:r>
      </w:hyperlink>
    </w:p>
    <w:p w14:paraId="60253D7A" w14:textId="77777777" w:rsidR="00871D40" w:rsidRDefault="00871D40" w:rsidP="00871D40">
      <w:pPr>
        <w:spacing w:after="0" w:line="240" w:lineRule="auto"/>
        <w:rPr>
          <w:rFonts w:ascii="Calibri" w:eastAsia="Times New Roman" w:hAnsi="Calibri" w:cs="Calibri"/>
          <w:color w:val="000000"/>
          <w:lang w:eastAsia="fr-FR"/>
        </w:rPr>
      </w:pPr>
    </w:p>
    <w:p w14:paraId="276B24E1" w14:textId="4EA4754E" w:rsidR="002F455E" w:rsidRPr="0095015C" w:rsidRDefault="005A1D94" w:rsidP="00950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eastAsia="Times New Roman" w:hAnsi="Comic Sans MS" w:cs="Calibri"/>
          <w:color w:val="C45911" w:themeColor="accent2" w:themeShade="BF"/>
          <w:sz w:val="24"/>
          <w:szCs w:val="24"/>
          <w:lang w:eastAsia="fr-FR"/>
        </w:rPr>
      </w:pPr>
      <w:r w:rsidRPr="0095015C">
        <w:rPr>
          <w:rFonts w:ascii="Comic Sans MS" w:eastAsia="Times New Roman" w:hAnsi="Comic Sans MS" w:cs="Calibri"/>
          <w:b/>
          <w:color w:val="C45911" w:themeColor="accent2" w:themeShade="BF"/>
          <w:sz w:val="24"/>
          <w:szCs w:val="24"/>
          <w:lang w:eastAsia="fr-FR"/>
        </w:rPr>
        <w:t>Sur les directives anticipées en psychiatr</w:t>
      </w:r>
      <w:r w:rsidR="0006581B" w:rsidRPr="0095015C">
        <w:rPr>
          <w:rFonts w:ascii="Comic Sans MS" w:eastAsia="Times New Roman" w:hAnsi="Comic Sans MS" w:cs="Calibri"/>
          <w:b/>
          <w:color w:val="C45911" w:themeColor="accent2" w:themeShade="BF"/>
          <w:sz w:val="24"/>
          <w:szCs w:val="24"/>
          <w:lang w:eastAsia="fr-FR"/>
        </w:rPr>
        <w:t>ie</w:t>
      </w:r>
    </w:p>
    <w:p w14:paraId="501794DD" w14:textId="7703774F" w:rsidR="002F455E" w:rsidRPr="00FA25C0" w:rsidRDefault="00AB5CA6" w:rsidP="00871D4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rPr>
          <w:sz w:val="24"/>
          <w:szCs w:val="24"/>
        </w:rPr>
        <w:sym w:font="Wingdings" w:char="F077"/>
      </w:r>
      <w:r>
        <w:rPr>
          <w:sz w:val="24"/>
          <w:szCs w:val="24"/>
        </w:rPr>
        <w:t xml:space="preserve"> </w:t>
      </w:r>
      <w:r w:rsidR="00CA7CB3" w:rsidRPr="00FA25C0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fr-FR"/>
        </w:rPr>
        <w:t xml:space="preserve">Revue Santé mentale, </w:t>
      </w:r>
      <w:r w:rsidR="00CA7CB3" w:rsidRPr="00FA25C0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n</w:t>
      </w:r>
      <w:r w:rsidR="00871D40" w:rsidRPr="00FA25C0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°245 (février 2020)</w:t>
      </w:r>
      <w:r w:rsidR="00CA7CB3" w:rsidRPr="00FA25C0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,</w:t>
      </w:r>
      <w:r w:rsidR="00871D40" w:rsidRPr="00FA25C0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consacré aux "Directives anticipées en psychiatrie "</w:t>
      </w:r>
      <w:r w:rsidR="007274B2" w:rsidRPr="00FA25C0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.</w:t>
      </w:r>
    </w:p>
    <w:p w14:paraId="1B48CE1D" w14:textId="538C8A9E" w:rsidR="00871D40" w:rsidRPr="00FA25C0" w:rsidRDefault="00AB5CA6" w:rsidP="00871D4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en-US" w:eastAsia="fr-FR"/>
        </w:rPr>
      </w:pPr>
      <w:r>
        <w:rPr>
          <w:sz w:val="24"/>
          <w:szCs w:val="24"/>
        </w:rPr>
        <w:sym w:font="Wingdings" w:char="F077"/>
      </w:r>
      <w:r w:rsidRPr="00AB5CA6">
        <w:rPr>
          <w:sz w:val="24"/>
          <w:szCs w:val="24"/>
          <w:lang w:val="en-US"/>
        </w:rPr>
        <w:t xml:space="preserve"> </w:t>
      </w:r>
      <w:r w:rsidR="00CA7CB3" w:rsidRPr="00FA25C0">
        <w:rPr>
          <w:rFonts w:ascii="Calibri" w:eastAsia="Times New Roman" w:hAnsi="Calibri" w:cs="Calibri"/>
          <w:color w:val="000000"/>
          <w:sz w:val="24"/>
          <w:szCs w:val="24"/>
          <w:lang w:val="en-US" w:eastAsia="fr-FR"/>
        </w:rPr>
        <w:t xml:space="preserve">site web : </w:t>
      </w:r>
      <w:hyperlink r:id="rId14" w:history="1">
        <w:r w:rsidR="00CA7CB3" w:rsidRPr="00FA25C0">
          <w:rPr>
            <w:rStyle w:val="Lienhypertexte"/>
            <w:rFonts w:ascii="Calibri" w:eastAsia="Times New Roman" w:hAnsi="Calibri" w:cs="Calibri"/>
            <w:sz w:val="24"/>
            <w:szCs w:val="24"/>
            <w:lang w:val="en-US" w:eastAsia="fr-FR"/>
          </w:rPr>
          <w:t>https://centre-ressource-rehabilitation.org/formation-accompagnement-a-la-redaction-des-directives-anticipees-en</w:t>
        </w:r>
      </w:hyperlink>
    </w:p>
    <w:p w14:paraId="5317F292" w14:textId="77777777" w:rsidR="00871D40" w:rsidRPr="00CA7CB3" w:rsidRDefault="00871D40" w:rsidP="00871D40">
      <w:pPr>
        <w:spacing w:after="0" w:line="240" w:lineRule="auto"/>
        <w:rPr>
          <w:rFonts w:ascii="Calibri" w:eastAsia="Times New Roman" w:hAnsi="Calibri" w:cs="Calibri"/>
          <w:color w:val="000000"/>
          <w:lang w:val="en-US" w:eastAsia="fr-FR"/>
        </w:rPr>
      </w:pPr>
    </w:p>
    <w:p w14:paraId="58C1A22E" w14:textId="5BC4C4A8" w:rsidR="00871D40" w:rsidRPr="00945242" w:rsidRDefault="00D837D2" w:rsidP="00950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omic Sans MS" w:eastAsia="Times New Roman" w:hAnsi="Comic Sans MS" w:cs="Calibri"/>
          <w:b/>
          <w:color w:val="C45911" w:themeColor="accent2" w:themeShade="BF"/>
          <w:sz w:val="24"/>
          <w:szCs w:val="24"/>
          <w:lang w:val="en-US" w:eastAsia="fr-FR"/>
        </w:rPr>
      </w:pPr>
      <w:r w:rsidRPr="00945242">
        <w:rPr>
          <w:rFonts w:ascii="Comic Sans MS" w:eastAsia="Times New Roman" w:hAnsi="Comic Sans MS" w:cs="Calibri"/>
          <w:b/>
          <w:color w:val="C45911" w:themeColor="accent2" w:themeShade="BF"/>
          <w:sz w:val="24"/>
          <w:szCs w:val="24"/>
          <w:lang w:val="en-US" w:eastAsia="fr-FR"/>
        </w:rPr>
        <w:t>Sophie Pichot, Marc Losson</w:t>
      </w:r>
    </w:p>
    <w:p w14:paraId="1777A212" w14:textId="7B6B0B2F" w:rsidR="00871D40" w:rsidRPr="00AB5CA6" w:rsidRDefault="00AB5CA6" w:rsidP="00871D40">
      <w:pPr>
        <w:spacing w:after="0" w:line="240" w:lineRule="auto"/>
        <w:rPr>
          <w:rFonts w:ascii="Calibri" w:eastAsia="Times New Roman" w:hAnsi="Calibri" w:cs="Calibri"/>
          <w:color w:val="000000"/>
          <w:sz w:val="24"/>
          <w:lang w:val="en-US" w:eastAsia="fr-FR"/>
        </w:rPr>
      </w:pPr>
      <w:r>
        <w:rPr>
          <w:sz w:val="24"/>
          <w:szCs w:val="24"/>
        </w:rPr>
        <w:sym w:font="Wingdings" w:char="F077"/>
      </w:r>
      <w:r w:rsidRPr="00AB5CA6">
        <w:rPr>
          <w:sz w:val="24"/>
          <w:szCs w:val="24"/>
          <w:lang w:val="en-US"/>
        </w:rPr>
        <w:t xml:space="preserve"> site web </w:t>
      </w:r>
      <w:r>
        <w:rPr>
          <w:sz w:val="24"/>
          <w:szCs w:val="24"/>
          <w:lang w:val="en-US"/>
        </w:rPr>
        <w:t xml:space="preserve">: </w:t>
      </w:r>
      <w:hyperlink r:id="rId15" w:history="1">
        <w:r w:rsidRPr="00CA4472">
          <w:rPr>
            <w:rStyle w:val="Lienhypertexte"/>
            <w:rFonts w:ascii="Calibri" w:eastAsia="Times New Roman" w:hAnsi="Calibri" w:cs="Calibri"/>
            <w:sz w:val="24"/>
            <w:lang w:val="en-US" w:eastAsia="fr-FR"/>
          </w:rPr>
          <w:t>https://www.helloasso.com/associations/la-question-de-l-autre/collectes/droits-des-personnes-handicapees</w:t>
        </w:r>
      </w:hyperlink>
    </w:p>
    <w:p w14:paraId="63913A78" w14:textId="77777777" w:rsidR="00871D40" w:rsidRPr="00AB5CA6" w:rsidRDefault="00871D40" w:rsidP="00871D40">
      <w:pPr>
        <w:rPr>
          <w:lang w:val="en-US"/>
        </w:rPr>
      </w:pPr>
    </w:p>
    <w:p w14:paraId="4F872241" w14:textId="73BC2305" w:rsidR="00994618" w:rsidRPr="00AB5CA6" w:rsidRDefault="00994618" w:rsidP="00994618">
      <w:pPr>
        <w:spacing w:after="0" w:line="240" w:lineRule="auto"/>
        <w:rPr>
          <w:rFonts w:ascii="Calibri" w:eastAsia="Times New Roman" w:hAnsi="Calibri" w:cs="Calibri"/>
          <w:color w:val="000000"/>
          <w:lang w:val="en-US" w:eastAsia="fr-FR"/>
        </w:rPr>
      </w:pPr>
    </w:p>
    <w:p w14:paraId="13985AD9" w14:textId="56E1FD30" w:rsidR="003A5522" w:rsidRPr="00AB5CA6" w:rsidRDefault="003A5522" w:rsidP="00994618">
      <w:pPr>
        <w:spacing w:after="0" w:line="240" w:lineRule="auto"/>
        <w:rPr>
          <w:rFonts w:ascii="Calibri" w:eastAsia="Times New Roman" w:hAnsi="Calibri" w:cs="Calibri"/>
          <w:color w:val="000000"/>
          <w:lang w:val="en-US" w:eastAsia="fr-FR"/>
        </w:rPr>
      </w:pPr>
    </w:p>
    <w:p w14:paraId="36BB09C8" w14:textId="40731459" w:rsidR="003A5522" w:rsidRPr="00AB5CA6" w:rsidRDefault="003A5522" w:rsidP="00994618">
      <w:pPr>
        <w:spacing w:after="0" w:line="240" w:lineRule="auto"/>
        <w:rPr>
          <w:rFonts w:ascii="Calibri" w:eastAsia="Times New Roman" w:hAnsi="Calibri" w:cs="Calibri"/>
          <w:color w:val="000000"/>
          <w:lang w:val="en-US" w:eastAsia="fr-FR"/>
        </w:rPr>
      </w:pPr>
    </w:p>
    <w:p w14:paraId="19E07A3E" w14:textId="53BE632E" w:rsidR="003A5522" w:rsidRPr="00AB5CA6" w:rsidRDefault="003A5522" w:rsidP="00994618">
      <w:pPr>
        <w:spacing w:after="0" w:line="240" w:lineRule="auto"/>
        <w:rPr>
          <w:rFonts w:ascii="Calibri" w:eastAsia="Times New Roman" w:hAnsi="Calibri" w:cs="Calibri"/>
          <w:color w:val="000000"/>
          <w:lang w:val="en-US" w:eastAsia="fr-FR"/>
        </w:rPr>
      </w:pPr>
    </w:p>
    <w:p w14:paraId="49EFC090" w14:textId="0DBB40E3" w:rsidR="003A5522" w:rsidRPr="00AB5CA6" w:rsidRDefault="003A5522" w:rsidP="00994618">
      <w:pPr>
        <w:spacing w:after="0" w:line="240" w:lineRule="auto"/>
        <w:rPr>
          <w:rFonts w:ascii="Calibri" w:eastAsia="Times New Roman" w:hAnsi="Calibri" w:cs="Calibri"/>
          <w:color w:val="000000"/>
          <w:lang w:val="en-US" w:eastAsia="fr-FR"/>
        </w:rPr>
      </w:pPr>
    </w:p>
    <w:p w14:paraId="63B4FF82" w14:textId="31BAFD29" w:rsidR="003A5522" w:rsidRPr="00AB5CA6" w:rsidRDefault="003A5522" w:rsidP="00994618">
      <w:pPr>
        <w:spacing w:after="0" w:line="240" w:lineRule="auto"/>
        <w:rPr>
          <w:rFonts w:ascii="Calibri" w:eastAsia="Times New Roman" w:hAnsi="Calibri" w:cs="Calibri"/>
          <w:color w:val="000000"/>
          <w:lang w:val="en-US" w:eastAsia="fr-FR"/>
        </w:rPr>
      </w:pPr>
    </w:p>
    <w:p w14:paraId="6D8EED0D" w14:textId="1F28FFCA" w:rsidR="003A5522" w:rsidRPr="00AB5CA6" w:rsidRDefault="003A5522" w:rsidP="00994618">
      <w:pPr>
        <w:spacing w:after="0" w:line="240" w:lineRule="auto"/>
        <w:rPr>
          <w:rFonts w:ascii="Calibri" w:eastAsia="Times New Roman" w:hAnsi="Calibri" w:cs="Calibri"/>
          <w:color w:val="000000"/>
          <w:lang w:val="en-US" w:eastAsia="fr-FR"/>
        </w:rPr>
      </w:pPr>
    </w:p>
    <w:p w14:paraId="71C00255" w14:textId="77777777" w:rsidR="00D22F42" w:rsidRPr="00AB5CA6" w:rsidRDefault="00D22F42" w:rsidP="00994618">
      <w:pPr>
        <w:spacing w:after="0" w:line="240" w:lineRule="auto"/>
        <w:rPr>
          <w:rFonts w:ascii="Calibri" w:eastAsia="Times New Roman" w:hAnsi="Calibri" w:cs="Calibri"/>
          <w:color w:val="000000"/>
          <w:lang w:val="en-US" w:eastAsia="fr-FR"/>
        </w:rPr>
      </w:pPr>
    </w:p>
    <w:p w14:paraId="0D92AEB5" w14:textId="1B5460B9" w:rsidR="003A5522" w:rsidRDefault="003A5522" w:rsidP="003A5522">
      <w:pPr>
        <w:pStyle w:val="Sansinterligne"/>
        <w:jc w:val="right"/>
        <w:rPr>
          <w:i/>
          <w:iCs/>
        </w:rPr>
      </w:pPr>
      <w:r w:rsidRPr="00166800">
        <w:rPr>
          <w:i/>
          <w:iCs/>
        </w:rPr>
        <w:t xml:space="preserve">Biblio sélective/HV/CapLab </w:t>
      </w:r>
      <w:r>
        <w:rPr>
          <w:i/>
          <w:iCs/>
        </w:rPr>
        <w:t>juin</w:t>
      </w:r>
      <w:r w:rsidR="00D10339">
        <w:rPr>
          <w:i/>
          <w:iCs/>
        </w:rPr>
        <w:t xml:space="preserve"> </w:t>
      </w:r>
      <w:r>
        <w:rPr>
          <w:i/>
          <w:iCs/>
        </w:rPr>
        <w:t>23</w:t>
      </w:r>
    </w:p>
    <w:p w14:paraId="00E503AF" w14:textId="4D0022DA" w:rsidR="001A1FC7" w:rsidRPr="001A1FC7" w:rsidRDefault="001A1FC7" w:rsidP="003A5522">
      <w:pPr>
        <w:pStyle w:val="Sansinterligne"/>
        <w:jc w:val="right"/>
        <w:rPr>
          <w:b/>
          <w:i/>
          <w:iCs/>
        </w:rPr>
      </w:pPr>
      <w:r>
        <w:rPr>
          <w:i/>
          <w:iCs/>
        </w:rPr>
        <w:t>(</w:t>
      </w:r>
      <w:r w:rsidRPr="001A1FC7">
        <w:rPr>
          <w:b/>
          <w:i/>
          <w:iCs/>
        </w:rPr>
        <w:t xml:space="preserve">ressources extraites du catalogue des BU Lyon 2 </w:t>
      </w:r>
      <w:hyperlink r:id="rId16" w:history="1">
        <w:r w:rsidRPr="001A1FC7">
          <w:rPr>
            <w:rStyle w:val="Lienhypertexte"/>
            <w:b/>
            <w:i/>
            <w:iCs/>
          </w:rPr>
          <w:t>https://bu.univ-lyon2.fr/</w:t>
        </w:r>
      </w:hyperlink>
      <w:r w:rsidRPr="001A1FC7">
        <w:rPr>
          <w:b/>
          <w:i/>
          <w:iCs/>
        </w:rPr>
        <w:t>)</w:t>
      </w:r>
    </w:p>
    <w:sectPr w:rsidR="001A1FC7" w:rsidRPr="001A1FC7" w:rsidSect="0000571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70009" w14:textId="77777777" w:rsidR="00AC6EAB" w:rsidRDefault="00AC6EAB" w:rsidP="00945242">
      <w:pPr>
        <w:spacing w:after="0" w:line="240" w:lineRule="auto"/>
      </w:pPr>
      <w:r>
        <w:separator/>
      </w:r>
    </w:p>
  </w:endnote>
  <w:endnote w:type="continuationSeparator" w:id="0">
    <w:p w14:paraId="320E2328" w14:textId="77777777" w:rsidR="00AC6EAB" w:rsidRDefault="00AC6EAB" w:rsidP="00945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05C06" w14:textId="77777777" w:rsidR="00945242" w:rsidRDefault="0094524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7038809"/>
      <w:docPartObj>
        <w:docPartGallery w:val="Page Numbers (Bottom of Page)"/>
        <w:docPartUnique/>
      </w:docPartObj>
    </w:sdtPr>
    <w:sdtContent>
      <w:p w14:paraId="5620B651" w14:textId="3B9D10A8" w:rsidR="00945242" w:rsidRDefault="0094524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199565" w14:textId="3DE004B0" w:rsidR="00945242" w:rsidRDefault="00945242">
    <w:pPr>
      <w:pStyle w:val="Pieddepag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78639" w14:textId="77777777" w:rsidR="00945242" w:rsidRDefault="009452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0A27C" w14:textId="77777777" w:rsidR="00AC6EAB" w:rsidRDefault="00AC6EAB" w:rsidP="00945242">
      <w:pPr>
        <w:spacing w:after="0" w:line="240" w:lineRule="auto"/>
      </w:pPr>
      <w:r>
        <w:separator/>
      </w:r>
    </w:p>
  </w:footnote>
  <w:footnote w:type="continuationSeparator" w:id="0">
    <w:p w14:paraId="6336FE23" w14:textId="77777777" w:rsidR="00AC6EAB" w:rsidRDefault="00AC6EAB" w:rsidP="00945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CBDDA" w14:textId="77777777" w:rsidR="00945242" w:rsidRDefault="0094524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1954D" w14:textId="77777777" w:rsidR="00945242" w:rsidRDefault="0094524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2B4EC" w14:textId="77777777" w:rsidR="00945242" w:rsidRDefault="0094524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C9086B"/>
    <w:multiLevelType w:val="multilevel"/>
    <w:tmpl w:val="29D2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7F"/>
    <w:rsid w:val="00005716"/>
    <w:rsid w:val="00017B2C"/>
    <w:rsid w:val="0006581B"/>
    <w:rsid w:val="00095EFD"/>
    <w:rsid w:val="000C3C5F"/>
    <w:rsid w:val="000E7521"/>
    <w:rsid w:val="0010225A"/>
    <w:rsid w:val="001A1FC7"/>
    <w:rsid w:val="00237C08"/>
    <w:rsid w:val="002714C3"/>
    <w:rsid w:val="002A2912"/>
    <w:rsid w:val="002B54A7"/>
    <w:rsid w:val="002D66C1"/>
    <w:rsid w:val="002F455E"/>
    <w:rsid w:val="00307536"/>
    <w:rsid w:val="003A5522"/>
    <w:rsid w:val="00424676"/>
    <w:rsid w:val="00463C1F"/>
    <w:rsid w:val="00470FF0"/>
    <w:rsid w:val="004D7A46"/>
    <w:rsid w:val="00521AC5"/>
    <w:rsid w:val="00531801"/>
    <w:rsid w:val="0059450E"/>
    <w:rsid w:val="005A1D94"/>
    <w:rsid w:val="005D4473"/>
    <w:rsid w:val="005D7FDF"/>
    <w:rsid w:val="00646258"/>
    <w:rsid w:val="007274B2"/>
    <w:rsid w:val="00727995"/>
    <w:rsid w:val="00727A14"/>
    <w:rsid w:val="0082488F"/>
    <w:rsid w:val="00871D40"/>
    <w:rsid w:val="00903152"/>
    <w:rsid w:val="00925D9E"/>
    <w:rsid w:val="009416FB"/>
    <w:rsid w:val="00945242"/>
    <w:rsid w:val="0095015C"/>
    <w:rsid w:val="00994618"/>
    <w:rsid w:val="009D26EB"/>
    <w:rsid w:val="009E266D"/>
    <w:rsid w:val="009F462A"/>
    <w:rsid w:val="00A26B18"/>
    <w:rsid w:val="00A71D41"/>
    <w:rsid w:val="00AB5CA6"/>
    <w:rsid w:val="00AC4EFF"/>
    <w:rsid w:val="00AC6EAB"/>
    <w:rsid w:val="00B839B6"/>
    <w:rsid w:val="00BB70B8"/>
    <w:rsid w:val="00BF4A73"/>
    <w:rsid w:val="00C0374A"/>
    <w:rsid w:val="00C63A5F"/>
    <w:rsid w:val="00C93667"/>
    <w:rsid w:val="00CA7CB3"/>
    <w:rsid w:val="00CC5D74"/>
    <w:rsid w:val="00CE3700"/>
    <w:rsid w:val="00D10339"/>
    <w:rsid w:val="00D22F42"/>
    <w:rsid w:val="00D71C28"/>
    <w:rsid w:val="00D77B02"/>
    <w:rsid w:val="00D837D2"/>
    <w:rsid w:val="00D874A8"/>
    <w:rsid w:val="00DB0F34"/>
    <w:rsid w:val="00E5367F"/>
    <w:rsid w:val="00E65131"/>
    <w:rsid w:val="00F10915"/>
    <w:rsid w:val="00F147D7"/>
    <w:rsid w:val="00F60D22"/>
    <w:rsid w:val="00F65746"/>
    <w:rsid w:val="00F9100F"/>
    <w:rsid w:val="00F933F8"/>
    <w:rsid w:val="00FA25C0"/>
    <w:rsid w:val="00FC6A3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20656"/>
  <w15:chartTrackingRefBased/>
  <w15:docId w15:val="{EEC3307B-FCC6-4F3E-9911-FF773FA0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0F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4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94618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994618"/>
    <w:rPr>
      <w:b/>
      <w:bCs/>
    </w:rPr>
  </w:style>
  <w:style w:type="character" w:customStyle="1" w:styleId="familyname">
    <w:name w:val="familyname"/>
    <w:basedOn w:val="Policepardfaut"/>
    <w:rsid w:val="00994618"/>
  </w:style>
  <w:style w:type="character" w:styleId="Accentuation">
    <w:name w:val="Emphasis"/>
    <w:basedOn w:val="Policepardfaut"/>
    <w:uiPriority w:val="20"/>
    <w:qFormat/>
    <w:rsid w:val="00994618"/>
    <w:rPr>
      <w:i/>
      <w:iCs/>
    </w:rPr>
  </w:style>
  <w:style w:type="character" w:customStyle="1" w:styleId="uppercase">
    <w:name w:val="uppercase"/>
    <w:basedOn w:val="Policepardfaut"/>
    <w:rsid w:val="00994618"/>
  </w:style>
  <w:style w:type="character" w:customStyle="1" w:styleId="al-author-delim">
    <w:name w:val="al-author-delim"/>
    <w:basedOn w:val="Policepardfaut"/>
    <w:rsid w:val="00994618"/>
  </w:style>
  <w:style w:type="character" w:customStyle="1" w:styleId="Sous-titre1">
    <w:name w:val="Sous-titre1"/>
    <w:basedOn w:val="Policepardfaut"/>
    <w:rsid w:val="00994618"/>
  </w:style>
  <w:style w:type="character" w:customStyle="1" w:styleId="colon-for-citation-subtitle">
    <w:name w:val="colon-for-citation-subtitle"/>
    <w:basedOn w:val="Policepardfaut"/>
    <w:rsid w:val="00994618"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874A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874A8"/>
    <w:rPr>
      <w:i/>
      <w:iCs/>
      <w:color w:val="4472C4" w:themeColor="accent1"/>
    </w:rPr>
  </w:style>
  <w:style w:type="character" w:styleId="Mentionnonrsolue">
    <w:name w:val="Unresolved Mention"/>
    <w:basedOn w:val="Policepardfaut"/>
    <w:uiPriority w:val="99"/>
    <w:semiHidden/>
    <w:unhideWhenUsed/>
    <w:rsid w:val="00D874A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2A2912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9416FB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470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945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5242"/>
  </w:style>
  <w:style w:type="paragraph" w:styleId="Pieddepage">
    <w:name w:val="footer"/>
    <w:basedOn w:val="Normal"/>
    <w:link w:val="PieddepageCar"/>
    <w:uiPriority w:val="99"/>
    <w:unhideWhenUsed/>
    <w:rsid w:val="00945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9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8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9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30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8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6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74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7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1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9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05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96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7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6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12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2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36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93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2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0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.org/crpd/fr/pamela-molina" TargetMode="External"/><Relationship Id="rId13" Type="http://schemas.openxmlformats.org/officeDocument/2006/relationships/hyperlink" Target="https://centre-ressource-rehabilitation.org/l-impact-des-directives-anticipees-en-psychiatri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ithacadroitshumainsetvulnerabilites.wordpress.com/author/savalos70/" TargetMode="External"/><Relationship Id="rId12" Type="http://schemas.openxmlformats.org/officeDocument/2006/relationships/hyperlink" Target="https://www.isaac-fr.org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bu.univ-lyon2.fr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psu1296.univ-lyon2.fr/soutenances/soutenance-de-camille-carpentier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helloasso.com/associations/la-question-de-l-autre/collectes/droits-des-personnes-handicape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agedexister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vadoc.uva.es/handle/10324/41050" TargetMode="External"/><Relationship Id="rId14" Type="http://schemas.openxmlformats.org/officeDocument/2006/relationships/hyperlink" Target="https://centre-ressource-rehabilitation.org/formation-accompagnement-a-la-redaction-des-directives-anticipees-en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Velut</dc:creator>
  <cp:keywords/>
  <dc:description/>
  <cp:lastModifiedBy>Helene Velut</cp:lastModifiedBy>
  <cp:revision>60</cp:revision>
  <dcterms:created xsi:type="dcterms:W3CDTF">2024-11-14T21:33:00Z</dcterms:created>
  <dcterms:modified xsi:type="dcterms:W3CDTF">2024-12-10T09:13:00Z</dcterms:modified>
</cp:coreProperties>
</file>